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宁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夏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回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族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自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治</w:t>
      </w:r>
      <w:r>
        <w:rPr>
          <w:b/>
          <w:color w:val="FF0000"/>
          <w:sz w:val="52"/>
          <w:szCs w:val="52"/>
        </w:rPr>
        <w:t xml:space="preserve"> </w:t>
      </w:r>
      <w:r>
        <w:rPr>
          <w:rFonts w:hint="eastAsia"/>
          <w:b/>
          <w:color w:val="FF0000"/>
          <w:sz w:val="52"/>
          <w:szCs w:val="52"/>
        </w:rPr>
        <w:t>区</w:t>
      </w:r>
    </w:p>
    <w:p>
      <w:pPr>
        <w:tabs>
          <w:tab w:val="left" w:pos="8070"/>
        </w:tabs>
        <w:spacing w:line="620" w:lineRule="atLeast"/>
        <w:jc w:val="center"/>
        <w:rPr>
          <w:rFonts w:hint="eastAsia"/>
          <w:b/>
          <w:color w:val="FF0000"/>
          <w:sz w:val="84"/>
          <w:szCs w:val="84"/>
        </w:rPr>
      </w:pPr>
      <w:r>
        <w:rPr>
          <w:rFonts w:hint="eastAsia"/>
          <w:b/>
          <w:color w:val="FF0000"/>
          <w:sz w:val="84"/>
          <w:szCs w:val="84"/>
        </w:rPr>
        <w:t>西吉县人民法院文件</w:t>
      </w:r>
    </w:p>
    <w:p>
      <w:pPr>
        <w:spacing w:line="62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567"/>
          <w:tab w:val="left" w:pos="7757"/>
        </w:tabs>
        <w:spacing w:line="620" w:lineRule="atLeas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z w:val="32"/>
          <w:szCs w:val="32"/>
        </w:rPr>
        <w:t>西法发〔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ab/>
      </w:r>
      <w:bookmarkStart w:id="0" w:name="_GoBack"/>
      <w:bookmarkEnd w:id="0"/>
    </w:p>
    <w:p>
      <w:pPr>
        <w:spacing w:line="620" w:lineRule="atLeast"/>
        <w:jc w:val="center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249555</wp:posOffset>
                </wp:positionV>
                <wp:extent cx="2512695" cy="1905"/>
                <wp:effectExtent l="0" t="19050" r="1905" b="361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190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19.65pt;height:0.15pt;width:197.85pt;z-index:251660288;mso-width-relative:page;mso-height-relative:page;" filled="f" stroked="t" coordsize="21600,21600" o:gfxdata="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pBWyfbAAAACAEAAA8AAAAAAAAAAQAgAAAAIgAAAGRycy9k&#10;b3ducmV2LnhtbFBLAQIUABQAAAAIAIdO4kBaWjc2/wEAAPYDAAAOAAAAAAAAAAEAIAAAACo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260350</wp:posOffset>
                </wp:positionV>
                <wp:extent cx="2780665" cy="18415"/>
                <wp:effectExtent l="0" t="19050" r="635" b="196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1841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05pt;margin-top:20.5pt;height:1.45pt;width:218.95pt;z-index:251661312;mso-width-relative:page;mso-height-relative:page;" filled="f" stroked="t" coordsize="21600,21600" o:gfxdata="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N2lU9oAAAAJAQAADwAAAAAAAAABACAAAAAiAAAAZHJzL2Rv&#10;d25yZXYueG1sUEsBAhQAFAAAAAgAh07iQESCS0f/AQAA9wMAAA4AAAAAAAAAAQAgAAAAKQ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FF0000"/>
          <w:sz w:val="32"/>
          <w:szCs w:val="32"/>
        </w:rPr>
        <w:t>★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  <w:t>西吉法院关于印发《落实普法责任制“四清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  <w:t>单一办法”实施方案》的通知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157" w:beforeLines="50" w:beforeAutospacing="0" w:afterAutospacing="0"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、各人民法庭：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为贯彻落实县委、政府《关于印发&lt;关于全面落实普法责任制的实施意见&gt;的通知》文件精神，结合本院工作实际，制定具体实施方案，内容如下：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Times New Roman"/>
          <w:color w:val="01010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010101"/>
          <w:kern w:val="0"/>
          <w:sz w:val="32"/>
          <w:szCs w:val="32"/>
        </w:rPr>
        <w:t>一、强化学习，</w:t>
      </w:r>
      <w:r>
        <w:rPr>
          <w:rFonts w:hint="eastAsia" w:ascii="黑体" w:hAnsi="黑体" w:eastAsia="黑体" w:cs="仿宋"/>
          <w:color w:val="010101"/>
          <w:kern w:val="0"/>
          <w:sz w:val="32"/>
          <w:szCs w:val="32"/>
          <w:lang w:eastAsia="zh-CN"/>
        </w:rPr>
        <w:t>营造良好氛围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1"/>
        <w:textAlignment w:val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庭室结合工作职能和普法对象特点，全方位开展形式多样的宣传活动，增强我院履行推进法治建设第一责任人意识，增强国家机关普法的责任意识，增强公众普法的参与意识，营造全社会关注普法、尊法学法守法用法的良好氛围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ascii="黑体" w:hAnsi="黑体" w:eastAsia="黑体" w:cs="仿宋"/>
          <w:color w:val="010101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10101"/>
          <w:kern w:val="0"/>
          <w:sz w:val="32"/>
          <w:szCs w:val="32"/>
        </w:rPr>
        <w:t>二、细化任务，编制“四清单一办法”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落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实普法责任制，关键是要明确谁来普、普什么、怎么普、普到什么程度、不普怎么办，即要解决普法的责任、内容、措施、标准和考核办法。为此，制订西吉法院普法责任制“四清单一办法”。内容清单：《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中华人民共和国宪法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中华人民共和国婚姻法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中华人民共和国反家庭暴力法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中华人民共和国侵权责任法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中华人民共和国禁毒法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》等相关法律法规。责任清单：以庭室为单位，主管院长作为第一责任人，各庭室负责人作为分管责任人。措施清单：利用“三八”节、“五四”节、宪法宣传日等重大节日开展法律八进、巡回审判、法治讲堂等方式将普法“走出去”；设立“法院开放日”，邀请人大代表、政协委员旁听案件，基层法庭设置诉讼服务站等方式将普法“请进来”。标准清单：方案制定、普法形式、普法范围、达到的效果。考核办法：采取听汇报、查台账、调查群众满意度等考核方式，将普法活动评选出优秀、合格、不合格三个等级，并将考核结果作为部门年度绩效考核重要依据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ascii="黑体" w:hAnsi="黑体" w:eastAsia="黑体" w:cs="仿宋"/>
          <w:color w:val="010101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10101"/>
          <w:kern w:val="0"/>
          <w:sz w:val="32"/>
          <w:szCs w:val="32"/>
        </w:rPr>
        <w:t>三、抓好“四大重点工作”落实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按照《实施意见》的部署，创新方式，丰富内容，切实抓好重点工作落实：一是促进法治文化建设。按照自治区普法办印发的《关于进一步加强社会主义法治文化建设的实施意见》及普法责任制要求，加强我院法治文化建设；二是促进以案释法制度建立。建立完善法官以案释法制度，推广媒体庭审直播、群众旁听庭审、巡回法庭等普法形式，使法律服务、矛盾调解等法治实践的过程成为向广大群众普法的方式；三是积极开展法治创建活动。牵头部门要落实责任，按照各责任部门普法内容及标准，做好普法工作，取得显著成效。四是完善工作机制。建立健全普法工作机制，落实各项工作措施，完善普法台账，确保《实施意见》顺利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leftChars="0" w:firstLine="160" w:firstLineChars="50"/>
        <w:jc w:val="center"/>
        <w:textAlignment w:val="auto"/>
        <w:rPr>
          <w:rFonts w:ascii="仿宋" w:hAnsi="仿宋" w:eastAsia="仿宋" w:cs="Times New Roman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西吉县人民法院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ascii="仿宋" w:hAnsi="仿宋" w:eastAsia="仿宋" w:cs="仿宋"/>
          <w:color w:val="010101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10101"/>
          <w:sz w:val="44"/>
          <w:szCs w:val="44"/>
        </w:rPr>
        <w:t>西吉法院普法内容清单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《中华人民共和国宪法》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2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《中华人民共和国婚姻法》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3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《中华人民共和国妇女权益保障法》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4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《中华人民共和国反家庭暴力法》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5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《中华人民共和国民事诉讼法》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6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《中华人民共和国侵权责任法》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7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《中华人民共和国刑法》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8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《中华人民共和国刑事诉讼法》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9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《中华人民共和国未成年人保护法》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10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《中华人民共和国预防未成年人犯罪法》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11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《中华人民共和国禁毒法》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12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《中华人民共和国安全生产法》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13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《中华人民共和国合同法》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14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《中华人民共和国行政诉讼法》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15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《中华人民共和国行政许可法》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16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《中华人民共和国行政处罚法》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17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《中华人民共和国农村土地承包法》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18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</w:rPr>
              <w:t>《农村土地承包经营权流转管理办法》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Arial" w:hAnsi="Arial" w:cs="Arial"/>
          <w:color w:val="000000"/>
          <w:shd w:val="clear" w:color="auto" w:fill="FFFFFF"/>
        </w:rPr>
      </w:pPr>
    </w:p>
    <w:p>
      <w:pPr>
        <w:rPr>
          <w:rFonts w:ascii="Arial" w:hAnsi="Arial" w:cs="Arial"/>
          <w:color w:val="000000"/>
          <w:shd w:val="clear" w:color="auto" w:fill="FFFFFF"/>
        </w:rPr>
      </w:pPr>
    </w:p>
    <w:p>
      <w:pPr>
        <w:rPr>
          <w:rFonts w:ascii="Arial" w:hAnsi="Arial" w:cs="Arial"/>
          <w:color w:val="000000"/>
          <w:shd w:val="clear" w:color="auto" w:fill="FFFFFF"/>
        </w:rPr>
      </w:pPr>
    </w:p>
    <w:p>
      <w:pPr>
        <w:rPr>
          <w:rFonts w:ascii="Arial" w:hAnsi="Arial" w:cs="Arial"/>
          <w:color w:val="000000"/>
          <w:shd w:val="clear" w:color="auto" w:fill="FFFFFF"/>
        </w:rPr>
      </w:pPr>
    </w:p>
    <w:p>
      <w:pPr>
        <w:pStyle w:val="2"/>
        <w:rPr>
          <w:rFonts w:ascii="Arial" w:hAnsi="Arial" w:cs="Arial"/>
          <w:color w:val="00000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Arial" w:hAnsi="Arial" w:cs="Arial"/>
          <w:color w:val="000000"/>
          <w:shd w:val="clear" w:color="auto" w:fill="FFFFFF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600" w:lineRule="exact"/>
        <w:ind w:firstLine="420"/>
        <w:jc w:val="center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color w:val="010101"/>
          <w:kern w:val="0"/>
          <w:sz w:val="44"/>
          <w:szCs w:val="44"/>
        </w:rPr>
        <w:t>西吉法院普法责任清单</w:t>
      </w:r>
      <w:r>
        <w:rPr>
          <w:rFonts w:ascii="方正小标宋简体" w:hAnsi="宋体" w:eastAsia="方正小标宋简体" w:cs="方正小标宋简体"/>
          <w:color w:val="010101"/>
          <w:kern w:val="0"/>
          <w:sz w:val="44"/>
          <w:szCs w:val="44"/>
        </w:rPr>
        <w:t xml:space="preserve"> </w:t>
      </w:r>
    </w:p>
    <w:tbl>
      <w:tblPr>
        <w:tblStyle w:val="8"/>
        <w:tblW w:w="87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50"/>
        <w:gridCol w:w="1675"/>
        <w:gridCol w:w="1950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第一责任人</w:t>
            </w: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分管责任人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责任部门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重点普法内容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李军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马建强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《中华人民共和国安全生产法》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雷亚斌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政治部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《中华人民共和国宪法》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郭军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卜旭伟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刑庭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《中华人民共和国刑法》、《中华人民共和国刑事诉讼法》、《中华人民共和国未成年人保护法》、《中华人民共和国预防未成年人犯罪法》、《中华人民共和国禁毒法》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王芳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行政团队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《中华人民共和国行政诉讼法》、《中华人民共和国行政许可法》、《中华人民共和国行政处罚法》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马占山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阿宁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袁学文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戴亚雄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杨晓亮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家事团队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兴隆法庭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新营法庭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震湖法庭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白崖法庭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《中华人民共和国婚姻法》、《中华人民共和国妇女权益保障法》、《中华人民共和国反家庭暴力法》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马春刚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马孝国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袁学文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戴亚雄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杨晓亮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马红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民事团队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立案庭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兴隆法庭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新营法庭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震湖法庭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白崖法庭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《中华人民共和国民事诉讼法》、《中华人民共和国侵权责任法》、《中华人民共和国合同法》、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《中华人民共和国农村土地承包法》、《农村土地承包经营权流转管理办法》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hint="eastAsia" w:ascii="方正小标宋简体" w:hAnsi="宋体" w:eastAsia="方正小标宋简体" w:cs="方正小标宋简体"/>
          <w:color w:val="010101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hint="eastAsia" w:ascii="方正小标宋简体" w:hAnsi="宋体" w:eastAsia="方正小标宋简体" w:cs="方正小标宋简体"/>
          <w:color w:val="010101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color w:val="010101"/>
          <w:kern w:val="0"/>
          <w:sz w:val="44"/>
          <w:szCs w:val="44"/>
        </w:rPr>
        <w:t>西吉法院普法措施清单</w:t>
      </w:r>
      <w:r>
        <w:rPr>
          <w:rFonts w:ascii="方正小标宋简体" w:hAnsi="宋体" w:eastAsia="方正小标宋简体" w:cs="方正小标宋简体"/>
          <w:color w:val="010101"/>
          <w:kern w:val="0"/>
          <w:sz w:val="44"/>
          <w:szCs w:val="44"/>
        </w:rPr>
        <w:t xml:space="preserve"> </w:t>
      </w:r>
    </w:p>
    <w:tbl>
      <w:tblPr>
        <w:tblStyle w:val="8"/>
        <w:tblW w:w="959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645"/>
        <w:gridCol w:w="14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责任部门</w:t>
            </w:r>
          </w:p>
        </w:tc>
        <w:tc>
          <w:tcPr>
            <w:tcW w:w="264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重点普法内容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普法对象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普法举措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</w:tc>
        <w:tc>
          <w:tcPr>
            <w:tcW w:w="264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《中华人民共和国安全生产法》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企业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组织编印《企业经营风险防范和建议》、《案例选编》等涉企法律资料，深入各企业和重点工程项目开展“送法进企业”活动。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政治部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</w:tc>
        <w:tc>
          <w:tcPr>
            <w:tcW w:w="264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《中华人民共和国宪法》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社区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组织法官进社区、进学校、进乡村开展“12.4宪法日”、“法官宣誓”等法治巡回宣传活动。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刑庭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</w:tc>
        <w:tc>
          <w:tcPr>
            <w:tcW w:w="264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《中华人民共和国刑法》、《中华人民共和国刑事诉讼法》、《中华人民共和国未成年人保护法》、《中华人民共和国预防未成年人犯罪法》、《中华人民共和国禁毒法》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社区、学校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组织法官进社区开展创建“零犯罪社区”；组织法官进校园；设立法院开放日，邀请人大代表、政协委员旁听案件。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行政庭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</w:tc>
        <w:tc>
          <w:tcPr>
            <w:tcW w:w="264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《中华人民共和国行政诉讼法》、《中华人民共和国行政许可法》、《中华人民共和国行政处罚法》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行政机关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组织法官进行政机关开展法治宣传活动、开展行政机关一把手出庭活动。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ind w:firstLine="15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民一庭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兴隆法庭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新营法庭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震湖法庭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白崖法庭</w:t>
            </w:r>
          </w:p>
        </w:tc>
        <w:tc>
          <w:tcPr>
            <w:tcW w:w="264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《中华人民共和国婚姻法》、《中华人民共和国妇女权益保障法》、《中华人民共和国反家庭暴力法》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社区、学校、乡村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利用“三八”妇女节、“五四”青年节等重大节日组织法官进社区开展“讲文明、树新风”暨倡导婚嫁移风易俗讲座。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民二庭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立案庭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兴隆法庭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新营法庭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震湖法庭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白崖法庭</w:t>
            </w:r>
          </w:p>
        </w:tc>
        <w:tc>
          <w:tcPr>
            <w:tcW w:w="2645" w:type="dxa"/>
          </w:tcPr>
          <w:p>
            <w:pPr>
              <w:spacing w:line="400" w:lineRule="exact"/>
              <w:ind w:firstLine="150" w:firstLineChars="5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《中华人民共和国民事诉讼法》、《中华人民共和国侵权责任法》、《中华人民共和国合同法》、《中华人民共和国农村土地承包法》、《农村土地承包经营权流转管理办法》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社区、乡镇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组织法官通过巡回审判、基层法庭、诉讼服务站等方式进乡镇、社区开展宣传活动；组织青年法官开展“五四”法治宣传活动；组织全院干警开展“百名干警进千家”活动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hint="eastAsia" w:ascii="仿宋_GB2312" w:hAnsi="仿宋_GB2312" w:eastAsia="仿宋_GB2312" w:cs="仿宋_GB2312"/>
          <w:color w:val="010101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pStyle w:val="2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pStyle w:val="2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pStyle w:val="2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方正小标宋简体" w:hAnsi="宋体" w:eastAsia="方正小标宋简体" w:cs="Times New Roman"/>
          <w:color w:val="01010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10101"/>
          <w:kern w:val="0"/>
          <w:sz w:val="44"/>
          <w:szCs w:val="44"/>
        </w:rPr>
        <w:t>西吉法院普法标准清单</w:t>
      </w:r>
      <w:r>
        <w:rPr>
          <w:rFonts w:ascii="方正小标宋简体" w:hAnsi="宋体" w:eastAsia="方正小标宋简体" w:cs="方正小标宋简体"/>
          <w:color w:val="010101"/>
          <w:kern w:val="0"/>
          <w:sz w:val="44"/>
          <w:szCs w:val="44"/>
        </w:rPr>
        <w:t xml:space="preserve"> </w:t>
      </w:r>
    </w:p>
    <w:tbl>
      <w:tblPr>
        <w:tblStyle w:val="8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3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77" w:type="dxa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33" w:type="dxa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标准</w:t>
            </w:r>
          </w:p>
        </w:tc>
        <w:tc>
          <w:tcPr>
            <w:tcW w:w="6379" w:type="dxa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7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方案</w:t>
            </w:r>
          </w:p>
        </w:tc>
        <w:tc>
          <w:tcPr>
            <w:tcW w:w="6379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责任部门每次普法宣传前需制定宣传实施方案。方案应当明确责任，工作重点内容，活动步骤所需要的材料，阶段性的成果，保障普法活动顺利完成。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效果</w:t>
            </w:r>
          </w:p>
        </w:tc>
        <w:tc>
          <w:tcPr>
            <w:tcW w:w="6379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责任部门每月至少进行一次普法宣传，每次宣传至少完成500份的材料发放；现场解答疑难问题，群众反映良好，有真实事例。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范围</w:t>
            </w:r>
          </w:p>
        </w:tc>
        <w:tc>
          <w:tcPr>
            <w:tcW w:w="6379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责任部门根据宣传主题、内容、预期达到的效果确定宣传范围，范围需覆盖县城、乡镇主要的公共场所，将普法带进社区、学校、企业、乡村。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形式</w:t>
            </w:r>
          </w:p>
        </w:tc>
        <w:tc>
          <w:tcPr>
            <w:tcW w:w="6379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充分利用流动便民法庭车，采用发放宣传资料、播放宣传片、制作工作展板、举办专题讲座等形式，使宣传的内容形象生动，便于老百姓接受。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宋体" w:cs="Times New Roman"/>
          <w:color w:val="010101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480" w:lineRule="atLeast"/>
        <w:ind w:firstLine="420"/>
        <w:jc w:val="center"/>
        <w:rPr>
          <w:rFonts w:ascii="宋体" w:cs="Times New Roman"/>
          <w:color w:val="010101"/>
          <w:kern w:val="0"/>
          <w:sz w:val="24"/>
          <w:szCs w:val="24"/>
        </w:rPr>
      </w:pPr>
    </w:p>
    <w:p>
      <w:pPr>
        <w:shd w:val="clear" w:color="auto" w:fill="FFFFFF"/>
        <w:autoSpaceDE w:val="0"/>
        <w:snapToGrid w:val="0"/>
        <w:spacing w:before="100" w:beforeAutospacing="1" w:after="100" w:afterAutospacing="1" w:line="80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kern w:val="0"/>
          <w:sz w:val="44"/>
          <w:szCs w:val="44"/>
        </w:rPr>
        <w:t>西吉法院普法考核办法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深入推进我县法治建设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使广大人民群众树立法治观念，培植法律意识，学习法律知识，提高群众知法守法学法用法水平。结合我院工作实际,特制定本考核办法。</w:t>
      </w:r>
    </w:p>
    <w:p>
      <w:pPr>
        <w:shd w:val="clear" w:color="auto" w:fill="FFFFFF"/>
        <w:autoSpaceDE w:val="0"/>
        <w:snapToGrid w:val="0"/>
        <w:spacing w:line="360" w:lineRule="auto"/>
        <w:ind w:firstLine="640" w:firstLineChars="200"/>
        <w:jc w:val="left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10101"/>
          <w:kern w:val="0"/>
          <w:sz w:val="32"/>
          <w:szCs w:val="32"/>
        </w:rPr>
        <w:t>一、总体要求</w:t>
      </w:r>
      <w:r>
        <w:rPr>
          <w:rFonts w:ascii="黑体" w:hAnsi="黑体" w:eastAsia="黑体" w:cs="黑体"/>
          <w:color w:val="010101"/>
          <w:kern w:val="0"/>
          <w:sz w:val="32"/>
          <w:szCs w:val="32"/>
        </w:rPr>
        <w:t xml:space="preserve"> 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法制宣传工作是一项长期的社会系统工程，任重而道远，要长抓不懈。我单位将加大普法力度，创新普法形式，严格落实“普法人员责任意识”、“机关普法责任意识”和“公众参与意识”，营造全社会关注普法、尊法学法守法用法的良好氛围。</w:t>
      </w:r>
    </w:p>
    <w:p>
      <w:pPr>
        <w:widowControl/>
        <w:shd w:val="clear" w:color="auto" w:fill="FFFFFF"/>
        <w:autoSpaceDE w:val="0"/>
        <w:snapToGrid w:val="0"/>
        <w:spacing w:line="360" w:lineRule="auto"/>
        <w:ind w:firstLine="640" w:firstLineChars="200"/>
        <w:jc w:val="left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10101"/>
          <w:kern w:val="0"/>
          <w:sz w:val="32"/>
          <w:szCs w:val="32"/>
        </w:rPr>
        <w:t>二、考核对象及内容</w:t>
      </w:r>
      <w:r>
        <w:rPr>
          <w:rFonts w:ascii="仿宋" w:hAnsi="仿宋" w:eastAsia="仿宋" w:cs="仿宋"/>
          <w:color w:val="010101"/>
          <w:kern w:val="0"/>
          <w:sz w:val="32"/>
          <w:szCs w:val="32"/>
        </w:rPr>
        <w:t xml:space="preserve"> 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考核对象为各责任部门及责任人；考核内容为各责任庭室负责的普法活动开展情况、形式及社会效果。 </w:t>
      </w:r>
    </w:p>
    <w:p>
      <w:pPr>
        <w:shd w:val="clear" w:color="auto" w:fill="FFFFFF"/>
        <w:autoSpaceDE w:val="0"/>
        <w:snapToGrid w:val="0"/>
        <w:spacing w:line="360" w:lineRule="auto"/>
        <w:ind w:firstLine="640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10101"/>
          <w:kern w:val="0"/>
          <w:sz w:val="32"/>
          <w:szCs w:val="32"/>
        </w:rPr>
        <w:t>三、考核的方法</w:t>
      </w:r>
      <w:r>
        <w:rPr>
          <w:rFonts w:ascii="黑体" w:hAnsi="黑体" w:eastAsia="黑体" w:cs="黑体"/>
          <w:color w:val="010101"/>
          <w:kern w:val="0"/>
          <w:sz w:val="32"/>
          <w:szCs w:val="32"/>
        </w:rPr>
        <w:t xml:space="preserve"> </w:t>
      </w:r>
    </w:p>
    <w:p>
      <w:pPr>
        <w:autoSpaceDE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考核主要采取听汇报、查阅资料、调查群众满意度、抽查责任部门等形式进行。考核工作遵循实事求是、客观公正、注重实效的原则，采取工作实绩与群众满意度测评相结合的方法。</w:t>
      </w:r>
    </w:p>
    <w:p>
      <w:pPr>
        <w:autoSpaceDE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  <w:t>（一）听取综合汇报。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被考核部门责任人向考核组汇报普法进度，落实普法规划等工作开展情况。（30分） 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  <w:t>（二）查阅档案资料。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主要包括各项普法制度建设、普法工作创新工作等证明资料，可提供书面、电子、声像等资料。（30分） 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  <w:t>（三）调查群众满意度。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不定期进行群众民主测评，通过线上线下调查问卷方式，对群众满意度、参与意识、学法程度进行测评。（40分）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10101"/>
          <w:kern w:val="0"/>
          <w:sz w:val="32"/>
          <w:szCs w:val="32"/>
        </w:rPr>
        <w:t>（四）抽查责任部门。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根据工作开展情况，实地查看普法工作开展情况，作为延伸考核内容，考核直接计入被考核部门总分值。（20分）</w:t>
      </w:r>
    </w:p>
    <w:p>
      <w:pPr>
        <w:shd w:val="clear" w:color="auto" w:fill="FFFFFF"/>
        <w:autoSpaceDE w:val="0"/>
        <w:snapToGrid w:val="0"/>
        <w:spacing w:line="360" w:lineRule="auto"/>
        <w:ind w:firstLine="640" w:firstLineChars="200"/>
        <w:rPr>
          <w:rFonts w:ascii="宋体" w:cs="Times New Roman"/>
          <w:color w:val="01010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10101"/>
          <w:kern w:val="0"/>
          <w:sz w:val="32"/>
          <w:szCs w:val="32"/>
        </w:rPr>
        <w:t>四、考评等级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考评等级按优秀、合格、不合格分类。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1.优秀。得分在90分以上且排名前2名的部门，评为优秀等级。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2.合格。得分60分以上、未评为优秀等级的，评为合格等级。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3.不合格。得分60分以下，评为不合格等级。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30"/>
        <w:rPr>
          <w:rFonts w:ascii="黑体" w:hAnsi="黑体" w:eastAsia="黑体" w:cs="Times New Roman"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color w:val="010101"/>
          <w:sz w:val="32"/>
          <w:szCs w:val="32"/>
        </w:rPr>
        <w:t>五、考评结果的运用。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考评结果作为部门年度绩效考核重要依据。 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本考核办法自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  <w:lang w:eastAsia="zh-CN"/>
        </w:rPr>
        <w:t>印发之日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起施行。</w:t>
      </w:r>
    </w:p>
    <w:p>
      <w:pPr>
        <w:autoSpaceDE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31" w:right="136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zlmZDI2ZWRhNTA1MWQwNWM0OWFlYzAyYTIxMDEifQ=="/>
  </w:docVars>
  <w:rsids>
    <w:rsidRoot w:val="005E75E6"/>
    <w:rsid w:val="000009B1"/>
    <w:rsid w:val="00012370"/>
    <w:rsid w:val="00045724"/>
    <w:rsid w:val="000718D6"/>
    <w:rsid w:val="00071F45"/>
    <w:rsid w:val="000776BA"/>
    <w:rsid w:val="000A4EA7"/>
    <w:rsid w:val="000D0E5F"/>
    <w:rsid w:val="000D1763"/>
    <w:rsid w:val="000E726A"/>
    <w:rsid w:val="00102DE3"/>
    <w:rsid w:val="00113EFC"/>
    <w:rsid w:val="00134A05"/>
    <w:rsid w:val="001463E0"/>
    <w:rsid w:val="00154EA5"/>
    <w:rsid w:val="001961BA"/>
    <w:rsid w:val="001A32A1"/>
    <w:rsid w:val="001E39BB"/>
    <w:rsid w:val="002723AD"/>
    <w:rsid w:val="00281C25"/>
    <w:rsid w:val="002A1F64"/>
    <w:rsid w:val="002F3230"/>
    <w:rsid w:val="00305F8C"/>
    <w:rsid w:val="0032031A"/>
    <w:rsid w:val="003221E5"/>
    <w:rsid w:val="00322667"/>
    <w:rsid w:val="00334D63"/>
    <w:rsid w:val="00341FCE"/>
    <w:rsid w:val="0034678D"/>
    <w:rsid w:val="00356275"/>
    <w:rsid w:val="003646B1"/>
    <w:rsid w:val="00374797"/>
    <w:rsid w:val="003F1DA2"/>
    <w:rsid w:val="00423DC4"/>
    <w:rsid w:val="00430F75"/>
    <w:rsid w:val="00435C85"/>
    <w:rsid w:val="004627AA"/>
    <w:rsid w:val="004926FB"/>
    <w:rsid w:val="004A0CC2"/>
    <w:rsid w:val="004A21AA"/>
    <w:rsid w:val="004C64BB"/>
    <w:rsid w:val="004C76E0"/>
    <w:rsid w:val="004C7A10"/>
    <w:rsid w:val="004E088C"/>
    <w:rsid w:val="004E4EA2"/>
    <w:rsid w:val="00515345"/>
    <w:rsid w:val="00531BF0"/>
    <w:rsid w:val="00532DA3"/>
    <w:rsid w:val="00535922"/>
    <w:rsid w:val="00536BED"/>
    <w:rsid w:val="00546BCF"/>
    <w:rsid w:val="00581809"/>
    <w:rsid w:val="00581C5D"/>
    <w:rsid w:val="0059023C"/>
    <w:rsid w:val="005922B3"/>
    <w:rsid w:val="005A5304"/>
    <w:rsid w:val="005E75E6"/>
    <w:rsid w:val="00613597"/>
    <w:rsid w:val="00643902"/>
    <w:rsid w:val="006643ED"/>
    <w:rsid w:val="00677968"/>
    <w:rsid w:val="006A0EB5"/>
    <w:rsid w:val="006B590C"/>
    <w:rsid w:val="006B791E"/>
    <w:rsid w:val="006F5CDB"/>
    <w:rsid w:val="007040D4"/>
    <w:rsid w:val="00733C75"/>
    <w:rsid w:val="00735DF4"/>
    <w:rsid w:val="00751BCF"/>
    <w:rsid w:val="00765F47"/>
    <w:rsid w:val="007833CB"/>
    <w:rsid w:val="0079097B"/>
    <w:rsid w:val="00796EE8"/>
    <w:rsid w:val="007A2D18"/>
    <w:rsid w:val="007B2B82"/>
    <w:rsid w:val="007B70E1"/>
    <w:rsid w:val="007C205A"/>
    <w:rsid w:val="00843417"/>
    <w:rsid w:val="00855376"/>
    <w:rsid w:val="008744FD"/>
    <w:rsid w:val="008974E5"/>
    <w:rsid w:val="008A087B"/>
    <w:rsid w:val="008A12C3"/>
    <w:rsid w:val="008B0BD9"/>
    <w:rsid w:val="008B1030"/>
    <w:rsid w:val="008B4A92"/>
    <w:rsid w:val="008B5AF3"/>
    <w:rsid w:val="008B5D69"/>
    <w:rsid w:val="008C1780"/>
    <w:rsid w:val="008C1C1A"/>
    <w:rsid w:val="008D6730"/>
    <w:rsid w:val="008F7BE7"/>
    <w:rsid w:val="00926E02"/>
    <w:rsid w:val="009326E5"/>
    <w:rsid w:val="009440FF"/>
    <w:rsid w:val="00967902"/>
    <w:rsid w:val="009D24E9"/>
    <w:rsid w:val="009D5031"/>
    <w:rsid w:val="009F2755"/>
    <w:rsid w:val="00A415C1"/>
    <w:rsid w:val="00A47BC6"/>
    <w:rsid w:val="00A612A2"/>
    <w:rsid w:val="00AC1AEB"/>
    <w:rsid w:val="00AC7769"/>
    <w:rsid w:val="00AF42ED"/>
    <w:rsid w:val="00B00045"/>
    <w:rsid w:val="00B0669F"/>
    <w:rsid w:val="00B12F61"/>
    <w:rsid w:val="00B2419B"/>
    <w:rsid w:val="00B56FF1"/>
    <w:rsid w:val="00B57BD8"/>
    <w:rsid w:val="00B643E5"/>
    <w:rsid w:val="00B7757E"/>
    <w:rsid w:val="00BA1FC9"/>
    <w:rsid w:val="00BA5027"/>
    <w:rsid w:val="00BB1927"/>
    <w:rsid w:val="00BD049C"/>
    <w:rsid w:val="00BF02DE"/>
    <w:rsid w:val="00BF0D80"/>
    <w:rsid w:val="00C00BD7"/>
    <w:rsid w:val="00C115B5"/>
    <w:rsid w:val="00C23DB4"/>
    <w:rsid w:val="00C32429"/>
    <w:rsid w:val="00C366C2"/>
    <w:rsid w:val="00C921F0"/>
    <w:rsid w:val="00CB699A"/>
    <w:rsid w:val="00CE532B"/>
    <w:rsid w:val="00D32BB4"/>
    <w:rsid w:val="00D53152"/>
    <w:rsid w:val="00D701DF"/>
    <w:rsid w:val="00D76DAF"/>
    <w:rsid w:val="00D80B76"/>
    <w:rsid w:val="00D84E19"/>
    <w:rsid w:val="00D91D2D"/>
    <w:rsid w:val="00DB620A"/>
    <w:rsid w:val="00DD3918"/>
    <w:rsid w:val="00DD4EF7"/>
    <w:rsid w:val="00DF0CD0"/>
    <w:rsid w:val="00E00D74"/>
    <w:rsid w:val="00E105E3"/>
    <w:rsid w:val="00E50E3E"/>
    <w:rsid w:val="00E964DB"/>
    <w:rsid w:val="00EA11EA"/>
    <w:rsid w:val="00EB0262"/>
    <w:rsid w:val="00EB0F1E"/>
    <w:rsid w:val="00EC05BB"/>
    <w:rsid w:val="00EC25B8"/>
    <w:rsid w:val="00ED3EBD"/>
    <w:rsid w:val="00EF66F8"/>
    <w:rsid w:val="00F3468B"/>
    <w:rsid w:val="00F35605"/>
    <w:rsid w:val="00F36BDC"/>
    <w:rsid w:val="00FE432E"/>
    <w:rsid w:val="00FF49E4"/>
    <w:rsid w:val="05097FA0"/>
    <w:rsid w:val="1EE55964"/>
    <w:rsid w:val="39076A34"/>
    <w:rsid w:val="5DFA5AE9"/>
    <w:rsid w:val="63894B44"/>
    <w:rsid w:val="65C9744E"/>
    <w:rsid w:val="662621EA"/>
    <w:rsid w:val="6C41527C"/>
    <w:rsid w:val="701B5400"/>
    <w:rsid w:val="7C6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semiHidden/>
    <w:qFormat/>
    <w:uiPriority w:val="99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qFormat/>
    <w:locked/>
    <w:uiPriority w:val="99"/>
  </w:style>
  <w:style w:type="character" w:customStyle="1" w:styleId="14">
    <w:name w:val="apple-converted-space"/>
    <w:basedOn w:val="10"/>
    <w:qFormat/>
    <w:uiPriority w:val="99"/>
  </w:style>
  <w:style w:type="character" w:customStyle="1" w:styleId="15">
    <w:name w:val="HTML 预设格式 Char"/>
    <w:basedOn w:val="10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6">
    <w:name w:val="普通(网站)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3376</Words>
  <Characters>3409</Characters>
  <Lines>26</Lines>
  <Paragraphs>7</Paragraphs>
  <TotalTime>13</TotalTime>
  <ScaleCrop>false</ScaleCrop>
  <LinksUpToDate>false</LinksUpToDate>
  <CharactersWithSpaces>3434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2018-03-13T00:42:00Z</dcterms:created>
  <dc:creator>user</dc:creator>
  <cp:lastModifiedBy>Administrator</cp:lastModifiedBy>
  <cp:lastPrinted>2018-03-15T02:57:00Z</cp:lastPrinted>
  <dcterms:modified xsi:type="dcterms:W3CDTF">2022-11-14T03:27:40Z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76F094E897FE43DA9B325208BEC613CB</vt:lpwstr>
  </property>
</Properties>
</file>